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E2" w:rsidRPr="001E4178" w:rsidRDefault="00AF37E2" w:rsidP="00AF37E2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1E4178">
        <w:rPr>
          <w:rFonts w:ascii="Times New Roman" w:hAnsi="Times New Roman"/>
          <w:b/>
          <w:caps/>
          <w:szCs w:val="24"/>
          <w:lang w:val="bg-BG"/>
        </w:rPr>
        <w:t xml:space="preserve">КРИТЕРИИ ЗА ОПРЕДЕЛЯНЕ НА ИКОНОМИЧЕСКИ НАЙ-ИЗГОДНА ОФЕРТА. </w:t>
      </w:r>
      <w:r w:rsidRPr="001E4178">
        <w:rPr>
          <w:rFonts w:ascii="Times New Roman" w:hAnsi="Times New Roman"/>
          <w:b/>
          <w:szCs w:val="24"/>
          <w:lang w:val="bg-BG"/>
        </w:rPr>
        <w:t xml:space="preserve">РАЗГЛЕЖДАНЕ И </w:t>
      </w:r>
      <w:r w:rsidRPr="001E4178">
        <w:rPr>
          <w:rFonts w:ascii="Times New Roman" w:hAnsi="Times New Roman"/>
          <w:b/>
          <w:caps/>
          <w:szCs w:val="24"/>
          <w:lang w:val="bg-BG"/>
        </w:rPr>
        <w:t xml:space="preserve">ОЦЕНяване на ПОСТЪПИЛИТЕ ОФЕРТИТЕ -  </w:t>
      </w:r>
    </w:p>
    <w:p w:rsidR="00AF37E2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 w:firstLine="567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Икономически най-изгодната оферта се определя въз основа на следния критерии за възлагане:</w:t>
      </w:r>
    </w:p>
    <w:p w:rsidR="00AF37E2" w:rsidRPr="001E4178" w:rsidRDefault="00AF37E2" w:rsidP="00AF37E2">
      <w:pPr>
        <w:numPr>
          <w:ilvl w:val="0"/>
          <w:numId w:val="1"/>
        </w:numPr>
        <w:tabs>
          <w:tab w:val="left" w:pos="851"/>
        </w:tabs>
        <w:spacing w:line="276" w:lineRule="auto"/>
        <w:ind w:left="0" w:right="-2" w:firstLine="567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Оптимално съотношение качество/цена, което се оценява въз основа на цената или нивото на разходите, както и на показатели, включващи качествени, екологични и/или социални аспекти, свързани с предмета на обществената поръчка.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Общата (комплексна) оценка за всяка оферта се определя, като първоначално се изчисляват присъдените точки по отделните показатели и се умножават по коефициента на относителната им тежест. След това всяка оферта получава комплексна оценка, изразена в точки по следната формула: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KO=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EP+EмP+S+A+L+Rg+P+P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>/V+Ц+Л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/>
          <w:bCs/>
          <w:szCs w:val="24"/>
          <w:u w:val="single"/>
          <w:lang w:val="bg-BG"/>
        </w:rPr>
      </w:pP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>I. ОБЩИ КРИТЕРИИ - МАКСИМАЛНА ТЕЖЕСТ – 4</w:t>
      </w:r>
      <w:r w:rsidRPr="001E4178">
        <w:rPr>
          <w:rFonts w:ascii="Times New Roman" w:hAnsi="Times New Roman"/>
          <w:b/>
          <w:bCs/>
          <w:szCs w:val="24"/>
          <w:u w:val="single"/>
          <w:lang w:val="en-US"/>
        </w:rPr>
        <w:t>5</w:t>
      </w: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 xml:space="preserve"> % (4</w:t>
      </w:r>
      <w:r w:rsidRPr="001E4178">
        <w:rPr>
          <w:rFonts w:ascii="Times New Roman" w:hAnsi="Times New Roman"/>
          <w:b/>
          <w:bCs/>
          <w:szCs w:val="24"/>
          <w:u w:val="single"/>
          <w:lang w:val="en-US"/>
        </w:rPr>
        <w:t>5</w:t>
      </w: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 xml:space="preserve"> т.)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1. ЕНЕРГИЙНИ И ЕМИСИОННИ РАЗХОДИ ЗА ЦЕЛИЯ ЕКСПЛОАТАЦИОНЕН ЖИВОТ НА ПРЕДЛАГАНИТЕ АВТОБУСИ - ТЕЖЕСТ </w:t>
      </w:r>
      <w:r w:rsidRPr="001E4178">
        <w:rPr>
          <w:rFonts w:ascii="Times New Roman" w:hAnsi="Times New Roman"/>
          <w:bCs/>
          <w:szCs w:val="24"/>
          <w:lang w:val="en-US"/>
        </w:rPr>
        <w:t>20</w:t>
      </w:r>
      <w:r w:rsidRPr="001E4178">
        <w:rPr>
          <w:rFonts w:ascii="Times New Roman" w:hAnsi="Times New Roman"/>
          <w:bCs/>
          <w:szCs w:val="24"/>
          <w:lang w:val="bg-BG"/>
        </w:rPr>
        <w:t xml:space="preserve"> % (</w:t>
      </w:r>
      <w:r w:rsidRPr="001E4178">
        <w:rPr>
          <w:rFonts w:ascii="Times New Roman" w:hAnsi="Times New Roman"/>
          <w:bCs/>
          <w:szCs w:val="24"/>
          <w:lang w:val="en-US"/>
        </w:rPr>
        <w:t>20</w:t>
      </w:r>
      <w:r w:rsidRPr="001E4178">
        <w:rPr>
          <w:rFonts w:ascii="Times New Roman" w:hAnsi="Times New Roman"/>
          <w:bCs/>
          <w:szCs w:val="24"/>
          <w:lang w:val="bg-BG"/>
        </w:rPr>
        <w:t xml:space="preserve"> т.), в т. ч.: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1.1.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Енергийни разходи (ЕР)</w:t>
      </w:r>
      <w:r w:rsidRPr="001E4178">
        <w:rPr>
          <w:rFonts w:ascii="Times New Roman" w:hAnsi="Times New Roman"/>
          <w:bCs/>
          <w:szCs w:val="24"/>
          <w:lang w:val="bg-BG"/>
        </w:rPr>
        <w:t xml:space="preserve">, в евро -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до 1</w:t>
      </w:r>
      <w:r w:rsidRPr="001E4178">
        <w:rPr>
          <w:rFonts w:ascii="Times New Roman" w:hAnsi="Times New Roman"/>
          <w:bCs/>
          <w:szCs w:val="24"/>
          <w:lang w:val="en-US"/>
        </w:rPr>
        <w:t>3</w:t>
      </w:r>
      <w:r w:rsidRPr="001E4178">
        <w:rPr>
          <w:rFonts w:ascii="Times New Roman" w:hAnsi="Times New Roman"/>
          <w:bCs/>
          <w:szCs w:val="24"/>
          <w:lang w:val="bg-BG"/>
        </w:rPr>
        <w:t xml:space="preserve">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по формулата: 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ЕР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x  1</w:t>
      </w:r>
      <w:r w:rsidRPr="001E4178">
        <w:rPr>
          <w:rFonts w:ascii="Times New Roman" w:hAnsi="Times New Roman"/>
          <w:bCs/>
          <w:szCs w:val="24"/>
          <w:lang w:val="en-US"/>
        </w:rPr>
        <w:t>3</w:t>
      </w:r>
      <w:r w:rsidRPr="001E4178">
        <w:rPr>
          <w:rFonts w:ascii="Times New Roman" w:hAnsi="Times New Roman"/>
          <w:bCs/>
          <w:szCs w:val="24"/>
          <w:lang w:val="bg-BG"/>
        </w:rPr>
        <w:t xml:space="preserve"> = 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                      ЕР n  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   ЕР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- най-нисък разход от всички оферти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   ЕР n - разход от конкретната оферта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1.2.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Емисионни разходи (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ЕмР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>)</w:t>
      </w:r>
      <w:r w:rsidRPr="001E4178">
        <w:rPr>
          <w:rFonts w:ascii="Times New Roman" w:hAnsi="Times New Roman"/>
          <w:bCs/>
          <w:szCs w:val="24"/>
          <w:lang w:val="bg-BG"/>
        </w:rPr>
        <w:t xml:space="preserve">, в евро -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до </w:t>
      </w:r>
      <w:r w:rsidRPr="001E4178">
        <w:rPr>
          <w:rFonts w:ascii="Times New Roman" w:hAnsi="Times New Roman"/>
          <w:bCs/>
          <w:szCs w:val="24"/>
          <w:lang w:val="en-US"/>
        </w:rPr>
        <w:t>7</w:t>
      </w:r>
      <w:r w:rsidRPr="001E4178">
        <w:rPr>
          <w:rFonts w:ascii="Times New Roman" w:hAnsi="Times New Roman"/>
          <w:bCs/>
          <w:szCs w:val="24"/>
          <w:lang w:val="bg-BG"/>
        </w:rPr>
        <w:t xml:space="preserve">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по формулата: 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ЕмР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х   </w:t>
      </w:r>
      <w:r w:rsidRPr="001E4178">
        <w:rPr>
          <w:rFonts w:ascii="Times New Roman" w:hAnsi="Times New Roman"/>
          <w:bCs/>
          <w:szCs w:val="24"/>
          <w:lang w:val="en-US"/>
        </w:rPr>
        <w:t>7</w:t>
      </w:r>
      <w:r w:rsidRPr="001E4178">
        <w:rPr>
          <w:rFonts w:ascii="Times New Roman" w:hAnsi="Times New Roman"/>
          <w:bCs/>
          <w:szCs w:val="24"/>
          <w:lang w:val="bg-BG"/>
        </w:rPr>
        <w:t xml:space="preserve">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                    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ЕмР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n    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 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ЕмР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- най-нисък разход от всички оферти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ЕмР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n - разход от конкретната оферта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2. ГАРАНЦИОННИ УСЛОВИЯ НА ПРЕДЛАГАНИТЕ АВТОБУСИ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- ТЕЖЕСТ 5 % (5 т.), в т. ч.: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2.1.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Гаранционен срок за автобуса (S) -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до  2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     (съгласно техническите изисквания минимум 24 </w:t>
      </w:r>
      <w:r w:rsidRPr="001E4178">
        <w:rPr>
          <w:rFonts w:ascii="Times New Roman" w:hAnsi="Times New Roman"/>
          <w:bCs/>
          <w:i/>
          <w:szCs w:val="24"/>
          <w:lang w:val="bg-BG"/>
        </w:rPr>
        <w:t xml:space="preserve">и максимум 36 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>месеца)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S n 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  x  2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S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S n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гаранционен срок в месеци от конкретното предложение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S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най-дългия гаранционен срок в месеци от всички предложения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2.2.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Гаранционен срок за силовите агрегати (А)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-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до  2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(двигател, скоростна кутия, диференциал и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колесен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редуктор, кормилна кутия)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     (съгласно техническите изисквания минимум 24 </w:t>
      </w:r>
      <w:r w:rsidRPr="001E4178">
        <w:rPr>
          <w:rFonts w:ascii="Times New Roman" w:hAnsi="Times New Roman"/>
          <w:bCs/>
          <w:i/>
          <w:szCs w:val="24"/>
          <w:lang w:val="bg-BG"/>
        </w:rPr>
        <w:t xml:space="preserve">и максимум 36 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>месеца)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 A n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  x  2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lastRenderedPageBreak/>
        <w:t xml:space="preserve">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A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 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A n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гаранционен срок в месеци от конкретното предложение</w:t>
      </w:r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A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най-дългия гаранционен срок в месеци от всички предложения</w:t>
      </w:r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2.3.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Гаранционен срок за антикорозионно покритие и хидроизолация (L)</w:t>
      </w:r>
      <w:r w:rsidRPr="001E4178">
        <w:rPr>
          <w:rFonts w:ascii="Times New Roman" w:hAnsi="Times New Roman"/>
          <w:bCs/>
          <w:szCs w:val="24"/>
          <w:lang w:val="bg-BG"/>
        </w:rPr>
        <w:t xml:space="preserve"> - </w:t>
      </w:r>
      <w:r w:rsidRPr="001E4178">
        <w:rPr>
          <w:rFonts w:ascii="Times New Roman" w:hAnsi="Times New Roman"/>
          <w:bCs/>
          <w:szCs w:val="24"/>
          <w:lang w:val="bg-BG"/>
        </w:rPr>
        <w:tab/>
        <w:t>до  1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     (съгласно техническите изисквания минимум 120 </w:t>
      </w:r>
      <w:r w:rsidRPr="001E4178">
        <w:rPr>
          <w:rFonts w:ascii="Times New Roman" w:hAnsi="Times New Roman"/>
          <w:bCs/>
          <w:i/>
          <w:szCs w:val="24"/>
          <w:lang w:val="bg-BG"/>
        </w:rPr>
        <w:t xml:space="preserve">и максимум 156 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>месеца)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 L n 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  x  1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L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L n</w:t>
      </w:r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гаранционен срок в месеци от конкретното предложение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i/>
          <w:i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L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i/>
          <w:iCs/>
          <w:szCs w:val="24"/>
          <w:lang w:val="bg-BG"/>
        </w:rPr>
        <w:t xml:space="preserve"> - най-дългия гаранционен срок в месеци от всички предложения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3. ТЕХНИЧЕСКА ХАРАКТЕРИСТИКА НА ПРЕДЛАГАНИТЕ АВТОБУСИ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- ТЕЖЕСТ  20 % (20 т.), в т. ч.: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3.1.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>Специфичен разход на гориво (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Rg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>) в g/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kWh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 -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до 8 т.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R g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x 8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R g n      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 R g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- най-нисък разход от всички оферти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R g n - разход от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от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конкретната оферта, посочен в Предложението за изпълнение на съответния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учатник</w:t>
      </w:r>
      <w:proofErr w:type="spellEnd"/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3.2.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Специфична мощност (Р) в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kW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>/t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>-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>до 4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по формулата:    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 Р n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    x 4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     Р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 специфичната мощност представлява съотношението между максималната мощност в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kW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и технически допустима максимална маса на автобуса в t, посочени в Предложението за изпълнение на съответния участник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Р n - специфична мощност от конкретната оферта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Р 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- най-голямата специфична мощност от всички оферти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3.3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Литрова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мощност (Р/V) в 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kW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>/dm</w:t>
      </w:r>
      <w:r w:rsidRPr="001E4178">
        <w:rPr>
          <w:rFonts w:ascii="Times New Roman" w:hAnsi="Times New Roman"/>
          <w:bCs/>
          <w:szCs w:val="24"/>
          <w:lang w:val="bg-BG"/>
        </w:rPr>
        <w:t>³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- </w:t>
      </w:r>
      <w:r w:rsidRPr="001E4178">
        <w:rPr>
          <w:rFonts w:ascii="Times New Roman" w:hAnsi="Times New Roman"/>
          <w:bCs/>
          <w:szCs w:val="24"/>
          <w:lang w:val="bg-BG"/>
        </w:rPr>
        <w:tab/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до  8 т.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</w:t>
      </w:r>
      <w:r w:rsidRPr="001E4178">
        <w:rPr>
          <w:rFonts w:ascii="Times New Roman" w:hAnsi="Times New Roman"/>
          <w:bCs/>
          <w:szCs w:val="24"/>
          <w:lang w:val="bg-BG"/>
        </w:rPr>
        <w:tab/>
        <w:t xml:space="preserve">   </w:t>
      </w:r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    P/</w:t>
      </w:r>
      <w:proofErr w:type="spellStart"/>
      <w:r w:rsidRPr="001E4178">
        <w:rPr>
          <w:rFonts w:ascii="Times New Roman" w:hAnsi="Times New Roman"/>
          <w:bCs/>
          <w:szCs w:val="24"/>
          <w:u w:val="single"/>
          <w:lang w:val="bg-BG"/>
        </w:rPr>
        <w:t>Vдв</w:t>
      </w:r>
      <w:proofErr w:type="spellEnd"/>
      <w:r w:rsidRPr="001E4178">
        <w:rPr>
          <w:rFonts w:ascii="Times New Roman" w:hAnsi="Times New Roman"/>
          <w:bCs/>
          <w:szCs w:val="24"/>
          <w:u w:val="single"/>
          <w:lang w:val="bg-BG"/>
        </w:rPr>
        <w:t xml:space="preserve">. n  </w:t>
      </w:r>
      <w:r w:rsidRPr="001E4178">
        <w:rPr>
          <w:rFonts w:ascii="Times New Roman" w:hAnsi="Times New Roman"/>
          <w:bCs/>
          <w:szCs w:val="24"/>
          <w:lang w:val="bg-BG"/>
        </w:rPr>
        <w:t xml:space="preserve">  x 8 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                                     P/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Vдв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.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                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литровата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мощност представлява съотношение между максималната мощност в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kW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и работния обем на двигателя в dm³, посочени в Предложението за изпълнение на съответния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учатник</w:t>
      </w:r>
      <w:proofErr w:type="spellEnd"/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P/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Vдв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. n –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литрова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мощност от конкретната оферта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P/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Vдв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.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max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- най-голямата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литрова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мощност от всички оферти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Минимални стойности, от които ще започне оценяването по общите критерии: EURO VI.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/>
          <w:bCs/>
          <w:szCs w:val="24"/>
          <w:u w:val="single"/>
          <w:lang w:val="bg-BG"/>
        </w:rPr>
      </w:pP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 xml:space="preserve">II. ФИНАНСОВИ КРИТЕРИИ - МАКСИМАЛНА ТЕЖЕСТ -  </w:t>
      </w:r>
      <w:r w:rsidRPr="001E4178">
        <w:rPr>
          <w:rFonts w:ascii="Times New Roman" w:hAnsi="Times New Roman"/>
          <w:b/>
          <w:bCs/>
          <w:szCs w:val="24"/>
          <w:u w:val="single"/>
          <w:lang w:val="en-US"/>
        </w:rPr>
        <w:t>55</w:t>
      </w: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 xml:space="preserve"> % (</w:t>
      </w:r>
      <w:r w:rsidRPr="001E4178">
        <w:rPr>
          <w:rFonts w:ascii="Times New Roman" w:hAnsi="Times New Roman"/>
          <w:b/>
          <w:bCs/>
          <w:szCs w:val="24"/>
          <w:u w:val="single"/>
          <w:lang w:val="en-US"/>
        </w:rPr>
        <w:t>55</w:t>
      </w:r>
      <w:r w:rsidRPr="001E4178">
        <w:rPr>
          <w:rFonts w:ascii="Times New Roman" w:hAnsi="Times New Roman"/>
          <w:b/>
          <w:bCs/>
          <w:szCs w:val="24"/>
          <w:u w:val="single"/>
          <w:lang w:val="bg-BG"/>
        </w:rPr>
        <w:t xml:space="preserve"> т.)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ab/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1E4178">
        <w:rPr>
          <w:rFonts w:ascii="Times New Roman" w:hAnsi="Times New Roman"/>
          <w:b/>
          <w:bCs/>
          <w:szCs w:val="24"/>
          <w:lang w:val="bg-BG"/>
        </w:rPr>
        <w:t>1.  ОБЩА СТОЙНОСТ (Ц)</w:t>
      </w:r>
      <w:r w:rsidRPr="001E4178">
        <w:rPr>
          <w:rFonts w:ascii="Times New Roman" w:hAnsi="Times New Roman"/>
          <w:b/>
          <w:bCs/>
          <w:szCs w:val="24"/>
          <w:lang w:val="bg-BG"/>
        </w:rPr>
        <w:tab/>
      </w:r>
      <w:r w:rsidRPr="001E4178">
        <w:rPr>
          <w:rFonts w:ascii="Times New Roman" w:hAnsi="Times New Roman"/>
          <w:b/>
          <w:bCs/>
          <w:szCs w:val="24"/>
          <w:lang w:val="bg-BG"/>
        </w:rPr>
        <w:tab/>
      </w:r>
      <w:r w:rsidRPr="001E4178">
        <w:rPr>
          <w:rFonts w:ascii="Times New Roman" w:hAnsi="Times New Roman"/>
          <w:b/>
          <w:bCs/>
          <w:szCs w:val="24"/>
          <w:lang w:val="bg-BG"/>
        </w:rPr>
        <w:tab/>
        <w:t xml:space="preserve">     - </w:t>
      </w:r>
      <w:r w:rsidRPr="001E4178">
        <w:rPr>
          <w:rFonts w:ascii="Times New Roman" w:hAnsi="Times New Roman"/>
          <w:b/>
          <w:bCs/>
          <w:szCs w:val="24"/>
          <w:lang w:val="bg-BG"/>
        </w:rPr>
        <w:tab/>
      </w:r>
      <w:r w:rsidRPr="001E4178">
        <w:rPr>
          <w:rFonts w:ascii="Times New Roman" w:hAnsi="Times New Roman"/>
          <w:b/>
          <w:bCs/>
          <w:szCs w:val="24"/>
          <w:lang w:val="bg-BG"/>
        </w:rPr>
        <w:tab/>
      </w:r>
      <w:r w:rsidRPr="001E4178">
        <w:rPr>
          <w:rFonts w:ascii="Times New Roman" w:hAnsi="Times New Roman"/>
          <w:b/>
          <w:bCs/>
          <w:szCs w:val="24"/>
          <w:lang w:val="bg-BG"/>
        </w:rPr>
        <w:tab/>
        <w:t xml:space="preserve">           </w:t>
      </w:r>
      <w:r w:rsidRPr="001E4178">
        <w:rPr>
          <w:rFonts w:ascii="Times New Roman" w:hAnsi="Times New Roman"/>
          <w:b/>
          <w:bCs/>
          <w:szCs w:val="24"/>
          <w:lang w:val="bg-BG"/>
        </w:rPr>
        <w:tab/>
        <w:t xml:space="preserve">до </w:t>
      </w:r>
      <w:r w:rsidRPr="001E4178">
        <w:rPr>
          <w:rFonts w:ascii="Times New Roman" w:hAnsi="Times New Roman"/>
          <w:b/>
          <w:bCs/>
          <w:szCs w:val="24"/>
          <w:lang w:val="en-US"/>
        </w:rPr>
        <w:t>45</w:t>
      </w:r>
      <w:r w:rsidRPr="001E4178">
        <w:rPr>
          <w:rFonts w:ascii="Times New Roman" w:hAnsi="Times New Roman"/>
          <w:b/>
          <w:bCs/>
          <w:szCs w:val="24"/>
          <w:lang w:val="bg-BG"/>
        </w:rPr>
        <w:t xml:space="preserve">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Посочва се Цена за изпълнение на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>доставката</w:t>
      </w:r>
      <w:r w:rsidRPr="00636CF2">
        <w:rPr>
          <w:rFonts w:ascii="Times New Roman" w:hAnsi="Times New Roman"/>
          <w:bCs/>
          <w:szCs w:val="24"/>
          <w:lang w:val="bg-BG"/>
        </w:rPr>
        <w:t xml:space="preserve"> без включено лизингово оскъпяване</w:t>
      </w:r>
      <w:r w:rsidRPr="001E4178">
        <w:rPr>
          <w:rFonts w:ascii="Times New Roman" w:hAnsi="Times New Roman"/>
          <w:bCs/>
          <w:szCs w:val="24"/>
          <w:lang w:val="bg-BG"/>
        </w:rPr>
        <w:t xml:space="preserve">, до посочената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франкировка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.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Цена за изпълнение на доставката, без включено лизингово оскъпяване - това е цената, която включва всички разходи на Възложителя, свързани с получаването на предмета на поръчката, а именно: доставка на 60 броя автобуси, до „Столичен автотранспорт“ ЕАД, Автобусно поделение Дружба, находящо се в гр. София, гара Искър, ул. „Капитан Любен Кондаков” № 7;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Най-ниската предложена обща стойност получава максималния брой точки, а останалите оценки се намаляват пропорционално,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     (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Ц</w:t>
      </w:r>
      <w:r w:rsidRPr="001E4178">
        <w:rPr>
          <w:rFonts w:ascii="Times New Roman" w:hAnsi="Times New Roman"/>
          <w:bCs/>
          <w:szCs w:val="24"/>
          <w:vertAlign w:val="subscript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/ Ц n) х </w:t>
      </w:r>
      <w:r w:rsidRPr="001E4178">
        <w:rPr>
          <w:rFonts w:ascii="Times New Roman" w:hAnsi="Times New Roman"/>
          <w:bCs/>
          <w:szCs w:val="24"/>
          <w:lang w:val="en-US"/>
        </w:rPr>
        <w:t>45</w:t>
      </w:r>
      <w:r w:rsidRPr="001E4178">
        <w:rPr>
          <w:rFonts w:ascii="Times New Roman" w:hAnsi="Times New Roman"/>
          <w:bCs/>
          <w:szCs w:val="24"/>
          <w:lang w:val="bg-BG"/>
        </w:rPr>
        <w:t>=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където: Ц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е най-ниската предложена обща стойност от всички оферти в лева, без ДДС;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Цn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е общата стойност, предложена в оценяваната оферта в лева, без ДДС.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1E4178">
        <w:rPr>
          <w:rFonts w:ascii="Times New Roman" w:hAnsi="Times New Roman"/>
          <w:b/>
          <w:bCs/>
          <w:szCs w:val="24"/>
          <w:lang w:val="bg-BG"/>
        </w:rPr>
        <w:t xml:space="preserve">2. ЛИЗИНГОВО ОСКЪПЯВАНЕ (Л)                             -                              </w:t>
      </w:r>
      <w:r w:rsidRPr="001E4178">
        <w:rPr>
          <w:rFonts w:ascii="Times New Roman" w:hAnsi="Times New Roman"/>
          <w:b/>
          <w:bCs/>
          <w:szCs w:val="24"/>
          <w:lang w:val="bg-BG"/>
        </w:rPr>
        <w:tab/>
        <w:t>до  10 т.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Максималният брой точки получава офертата с предлагана най-ниско оскъпяване – 10 точки. Точките на останалите участници се определят в съотношение към най-ниското оскъпяване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>по формулата: (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</w:t>
      </w:r>
      <w:r w:rsidRPr="001E4178">
        <w:rPr>
          <w:rFonts w:ascii="Times New Roman" w:hAnsi="Times New Roman"/>
          <w:bCs/>
          <w:szCs w:val="24"/>
          <w:vertAlign w:val="subscript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>/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>) х 10= т. ,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1E4178">
        <w:rPr>
          <w:rFonts w:ascii="Times New Roman" w:hAnsi="Times New Roman"/>
          <w:bCs/>
          <w:szCs w:val="24"/>
          <w:lang w:val="bg-BG"/>
        </w:rPr>
        <w:t xml:space="preserve"> където: </w:t>
      </w: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</w:t>
      </w:r>
      <w:r w:rsidRPr="001E4178">
        <w:rPr>
          <w:rFonts w:ascii="Times New Roman" w:hAnsi="Times New Roman"/>
          <w:bCs/>
          <w:szCs w:val="24"/>
          <w:vertAlign w:val="subscript"/>
          <w:lang w:val="bg-BG"/>
        </w:rPr>
        <w:t>min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е най-ниското лизингово оскъпяване от всички оферти в лева, без ДДС;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proofErr w:type="spellStart"/>
      <w:r w:rsidRPr="001E4178">
        <w:rPr>
          <w:rFonts w:ascii="Times New Roman" w:hAnsi="Times New Roman"/>
          <w:bCs/>
          <w:szCs w:val="24"/>
          <w:lang w:val="bg-BG"/>
        </w:rPr>
        <w:t>Лn</w:t>
      </w:r>
      <w:proofErr w:type="spellEnd"/>
      <w:r w:rsidRPr="001E4178">
        <w:rPr>
          <w:rFonts w:ascii="Times New Roman" w:hAnsi="Times New Roman"/>
          <w:bCs/>
          <w:szCs w:val="24"/>
          <w:lang w:val="bg-BG"/>
        </w:rPr>
        <w:t xml:space="preserve"> е лизинговото оскъпяване предложено в оценяваната оферта в лева, без ДДС;</w:t>
      </w:r>
    </w:p>
    <w:p w:rsidR="00AF37E2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highlight w:val="yellow"/>
          <w:lang w:val="bg-BG"/>
        </w:rPr>
      </w:pP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/>
          <w:bCs/>
          <w:szCs w:val="24"/>
          <w:u w:val="single"/>
          <w:lang w:val="bg-BG"/>
        </w:rPr>
        <w:t>ВАЖНО:</w:t>
      </w:r>
      <w:r w:rsidRPr="00E1080D">
        <w:rPr>
          <w:rFonts w:ascii="Times New Roman" w:hAnsi="Times New Roman"/>
          <w:bCs/>
          <w:szCs w:val="24"/>
          <w:lang w:val="bg-BG"/>
        </w:rPr>
        <w:t xml:space="preserve"> В предложеното лизингово оскъпяване следва да са включени: 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такса за управление на лизинга или еквивалентна такава;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Застраховка „Гражданска отговорност“ за първата година;</w:t>
      </w:r>
    </w:p>
    <w:p w:rsidR="00AF37E2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Застраховка „Пълно автокаско“ за първата година;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Застраховка „Злополука” на пътниците в средствата за обществен превоз;</w:t>
      </w:r>
    </w:p>
    <w:p w:rsidR="00AF37E2" w:rsidRPr="00E1080D" w:rsidRDefault="00AF37E2" w:rsidP="00AF37E2">
      <w:pPr>
        <w:tabs>
          <w:tab w:val="left" w:pos="-5529"/>
        </w:tabs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 xml:space="preserve">- </w:t>
      </w:r>
      <w:r w:rsidRPr="00E1080D">
        <w:rPr>
          <w:rFonts w:ascii="Times New Roman" w:hAnsi="Times New Roman"/>
          <w:bCs/>
          <w:szCs w:val="24"/>
          <w:lang w:val="bg-BG"/>
        </w:rPr>
        <w:t>разходи за придобиване, вкл. първоначална регистрация на автобусите и други съпътстващи разходи по придобиването;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данък МПС до края на текущата година;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продуктова /еко/ такса (ако се изисква от законодателството);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договорна лихва за срока на лизинга;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такса за вписване в ЦРОЗ (ако е приложимо);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- други, ако има такива.</w:t>
      </w:r>
    </w:p>
    <w:p w:rsidR="00AF37E2" w:rsidRPr="00E1080D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E1080D" w:rsidRDefault="00AF37E2" w:rsidP="00AF37E2">
      <w:pPr>
        <w:spacing w:line="276" w:lineRule="auto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>Лизинговото оскъпяване да бъде изчислено при 8-годишен срок на лизинга с 96 равни ежемесечни погасителни вноски на лихвата и главницата по приложени</w:t>
      </w:r>
      <w:r>
        <w:rPr>
          <w:rFonts w:ascii="Times New Roman" w:hAnsi="Times New Roman"/>
          <w:bCs/>
          <w:szCs w:val="24"/>
          <w:lang w:val="bg-BG"/>
        </w:rPr>
        <w:t>я</w:t>
      </w:r>
      <w:r w:rsidRPr="00E1080D">
        <w:rPr>
          <w:rFonts w:ascii="Times New Roman" w:hAnsi="Times New Roman"/>
          <w:bCs/>
          <w:szCs w:val="24"/>
          <w:lang w:val="bg-BG"/>
        </w:rPr>
        <w:t xml:space="preserve"> погасител</w:t>
      </w:r>
      <w:r>
        <w:rPr>
          <w:rFonts w:ascii="Times New Roman" w:hAnsi="Times New Roman"/>
          <w:bCs/>
          <w:szCs w:val="24"/>
          <w:lang w:val="bg-BG"/>
        </w:rPr>
        <w:t>ен</w:t>
      </w:r>
      <w:r w:rsidRPr="00E1080D">
        <w:rPr>
          <w:rFonts w:ascii="Times New Roman" w:hAnsi="Times New Roman"/>
          <w:bCs/>
          <w:szCs w:val="24"/>
          <w:lang w:val="bg-BG"/>
        </w:rPr>
        <w:t xml:space="preserve"> план</w:t>
      </w:r>
      <w:r>
        <w:rPr>
          <w:rFonts w:ascii="Times New Roman" w:hAnsi="Times New Roman"/>
          <w:bCs/>
          <w:szCs w:val="24"/>
          <w:lang w:val="bg-BG"/>
        </w:rPr>
        <w:t xml:space="preserve">. </w:t>
      </w:r>
      <w:r w:rsidRPr="00E1080D">
        <w:rPr>
          <w:rFonts w:ascii="Times New Roman" w:hAnsi="Times New Roman"/>
          <w:bCs/>
          <w:szCs w:val="24"/>
          <w:lang w:val="bg-BG"/>
        </w:rPr>
        <w:t xml:space="preserve">Договорната лихва да бъде изчислена при годишен лихвен процент, основан на тримесечен </w:t>
      </w:r>
      <w:r w:rsidRPr="00E1080D">
        <w:rPr>
          <w:rFonts w:ascii="Times New Roman" w:hAnsi="Times New Roman"/>
          <w:bCs/>
          <w:szCs w:val="24"/>
          <w:lang w:val="en-US"/>
        </w:rPr>
        <w:t>EURI</w:t>
      </w:r>
      <w:r w:rsidRPr="00E1080D">
        <w:rPr>
          <w:rFonts w:ascii="Times New Roman" w:hAnsi="Times New Roman"/>
          <w:bCs/>
          <w:szCs w:val="24"/>
          <w:lang w:val="bg-BG"/>
        </w:rPr>
        <w:t xml:space="preserve">BOR плюс надбавка. Надбавката остава постоянна величина за целия срок на договора. За целите на настоящата обществена поръчка изчисленията да се </w:t>
      </w:r>
      <w:r w:rsidRPr="00E1080D">
        <w:rPr>
          <w:rFonts w:ascii="Times New Roman" w:hAnsi="Times New Roman"/>
          <w:bCs/>
          <w:szCs w:val="24"/>
          <w:lang w:val="bg-BG"/>
        </w:rPr>
        <w:lastRenderedPageBreak/>
        <w:t xml:space="preserve">направят при размер на тримесечния </w:t>
      </w:r>
      <w:r w:rsidRPr="00E1080D">
        <w:rPr>
          <w:rFonts w:ascii="Times New Roman" w:hAnsi="Times New Roman"/>
          <w:bCs/>
          <w:szCs w:val="24"/>
          <w:lang w:val="en-US"/>
        </w:rPr>
        <w:t>EURI</w:t>
      </w:r>
      <w:r w:rsidRPr="00E1080D">
        <w:rPr>
          <w:rFonts w:ascii="Times New Roman" w:hAnsi="Times New Roman"/>
          <w:bCs/>
          <w:szCs w:val="24"/>
          <w:lang w:val="bg-BG"/>
        </w:rPr>
        <w:t>BOR към датата на публикуване на обявлението.</w:t>
      </w:r>
    </w:p>
    <w:p w:rsidR="00AF37E2" w:rsidRPr="001E4178" w:rsidRDefault="00AF37E2" w:rsidP="00AF37E2">
      <w:pPr>
        <w:spacing w:line="276" w:lineRule="auto"/>
        <w:jc w:val="both"/>
        <w:rPr>
          <w:rFonts w:ascii="Times New Roman" w:hAnsi="Times New Roman"/>
          <w:bCs/>
          <w:szCs w:val="24"/>
          <w:lang w:val="bg-BG"/>
        </w:rPr>
      </w:pPr>
      <w:r w:rsidRPr="00E1080D">
        <w:rPr>
          <w:rFonts w:ascii="Times New Roman" w:hAnsi="Times New Roman"/>
          <w:bCs/>
          <w:szCs w:val="24"/>
          <w:lang w:val="bg-BG"/>
        </w:rPr>
        <w:t xml:space="preserve">Данък добавена стойност, начислен съгласно чл. 6, ал. 2, т. 3 от ЗДДС, ще бъде заплатен от </w:t>
      </w:r>
      <w:proofErr w:type="spellStart"/>
      <w:r w:rsidRPr="00E1080D">
        <w:rPr>
          <w:rFonts w:ascii="Times New Roman" w:hAnsi="Times New Roman"/>
          <w:bCs/>
          <w:szCs w:val="24"/>
          <w:lang w:val="bg-BG"/>
        </w:rPr>
        <w:t>Лизингодателя</w:t>
      </w:r>
      <w:proofErr w:type="spellEnd"/>
      <w:r w:rsidRPr="00E1080D">
        <w:rPr>
          <w:rFonts w:ascii="Times New Roman" w:hAnsi="Times New Roman"/>
          <w:bCs/>
          <w:szCs w:val="24"/>
          <w:lang w:val="bg-BG"/>
        </w:rPr>
        <w:t xml:space="preserve"> на доставчика ведно с </w:t>
      </w:r>
      <w:proofErr w:type="spellStart"/>
      <w:r w:rsidRPr="00E1080D">
        <w:rPr>
          <w:rFonts w:ascii="Times New Roman" w:hAnsi="Times New Roman"/>
          <w:bCs/>
          <w:szCs w:val="24"/>
          <w:lang w:val="bg-BG"/>
        </w:rPr>
        <w:t>доставната</w:t>
      </w:r>
      <w:proofErr w:type="spellEnd"/>
      <w:r w:rsidRPr="00E1080D">
        <w:rPr>
          <w:rFonts w:ascii="Times New Roman" w:hAnsi="Times New Roman"/>
          <w:bCs/>
          <w:szCs w:val="24"/>
          <w:lang w:val="bg-BG"/>
        </w:rPr>
        <w:t xml:space="preserve"> цена, а ще се заплаща от Лизингополучателя на </w:t>
      </w:r>
      <w:proofErr w:type="spellStart"/>
      <w:r w:rsidRPr="00E1080D">
        <w:rPr>
          <w:rFonts w:ascii="Times New Roman" w:hAnsi="Times New Roman"/>
          <w:bCs/>
          <w:szCs w:val="24"/>
          <w:lang w:val="bg-BG"/>
        </w:rPr>
        <w:t>Лизингодателя</w:t>
      </w:r>
      <w:proofErr w:type="spellEnd"/>
      <w:r w:rsidRPr="00E1080D">
        <w:rPr>
          <w:rFonts w:ascii="Times New Roman" w:hAnsi="Times New Roman"/>
          <w:bCs/>
          <w:szCs w:val="24"/>
          <w:lang w:val="bg-BG"/>
        </w:rPr>
        <w:t xml:space="preserve"> разсрочено за срока на договора като част от плащанията по Погасителния план.</w:t>
      </w:r>
      <w:r w:rsidRPr="001E4178">
        <w:rPr>
          <w:rFonts w:ascii="Times New Roman" w:hAnsi="Times New Roman"/>
          <w:bCs/>
          <w:szCs w:val="24"/>
          <w:lang w:val="bg-BG"/>
        </w:rPr>
        <w:t xml:space="preserve"> </w:t>
      </w: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Cs/>
          <w:szCs w:val="24"/>
          <w:lang w:val="bg-BG"/>
        </w:rPr>
      </w:pPr>
    </w:p>
    <w:p w:rsidR="00AF37E2" w:rsidRPr="001E4178" w:rsidRDefault="00AF37E2" w:rsidP="00AF37E2">
      <w:pPr>
        <w:spacing w:line="276" w:lineRule="auto"/>
        <w:ind w:right="-2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1E4178">
        <w:rPr>
          <w:rFonts w:ascii="Times New Roman" w:hAnsi="Times New Roman"/>
          <w:b/>
          <w:bCs/>
          <w:szCs w:val="24"/>
          <w:lang w:val="bg-BG"/>
        </w:rPr>
        <w:t>МАКСИМАЛЕН ОБЩ БРОЙ ТОЧКИ, КОЙТО УЧАСТНИКА МОЖЕ ДА ПОЛУЧИ ПО ОБЩИ И ФИНАНСОВИ КРИТЕРИИ Е 100 т.</w:t>
      </w:r>
    </w:p>
    <w:p w:rsidR="00C61BF2" w:rsidRDefault="00C61BF2">
      <w:bookmarkStart w:id="0" w:name="_GoBack"/>
      <w:bookmarkEnd w:id="0"/>
    </w:p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072FC"/>
    <w:multiLevelType w:val="hybridMultilevel"/>
    <w:tmpl w:val="CDAA8430"/>
    <w:lvl w:ilvl="0" w:tplc="FEC45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2"/>
    <w:rsid w:val="00AF37E2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829E-A6B6-4BEF-B203-0174448E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7E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2018-03-27T06:53:00Z</dcterms:created>
  <dcterms:modified xsi:type="dcterms:W3CDTF">2018-03-27T06:54:00Z</dcterms:modified>
</cp:coreProperties>
</file>